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D6" w:rsidRDefault="000A6AD6">
      <w:pPr>
        <w:rPr>
          <w:rFonts w:ascii="Quicksand" w:eastAsia="Quicksand" w:hAnsi="Quicksand" w:cs="Quicksand"/>
          <w:color w:val="5B5BA5"/>
          <w:sz w:val="48"/>
          <w:szCs w:val="48"/>
        </w:rPr>
      </w:pPr>
    </w:p>
    <w:p w:rsidR="000A6AD6" w:rsidRDefault="00AA771C">
      <w:pPr>
        <w:rPr>
          <w:rFonts w:ascii="Quicksand" w:eastAsia="Quicksand" w:hAnsi="Quicksand" w:cs="Quicksand"/>
          <w:b/>
        </w:rPr>
      </w:pPr>
      <w:r>
        <w:rPr>
          <w:rFonts w:ascii="Quicksand" w:eastAsia="Quicksand" w:hAnsi="Quicksand" w:cs="Quicksand"/>
          <w:b/>
          <w:color w:val="5B5BA5"/>
          <w:sz w:val="48"/>
          <w:szCs w:val="48"/>
        </w:rPr>
        <w:t>Explorer task – Pixel art picture</w:t>
      </w:r>
    </w:p>
    <w:p w:rsidR="000A6AD6" w:rsidRDefault="000A6AD6">
      <w:pPr>
        <w:rPr>
          <w:rFonts w:ascii="Quicksand" w:eastAsia="Quicksand" w:hAnsi="Quicksand" w:cs="Quicksand"/>
        </w:rPr>
      </w:pPr>
    </w:p>
    <w:p w:rsidR="000A6AD6" w:rsidRDefault="00AA771C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Can you put together a set of instructions to create one of the following pictures in a spreadsheet?</w:t>
      </w:r>
    </w:p>
    <w:p w:rsidR="000A6AD6" w:rsidRDefault="000A6AD6">
      <w:pPr>
        <w:rPr>
          <w:rFonts w:ascii="Quicksand" w:eastAsia="Quicksand" w:hAnsi="Quicksand" w:cs="Quicksand"/>
        </w:rPr>
      </w:pPr>
    </w:p>
    <w:p w:rsidR="000A6AD6" w:rsidRDefault="00AA771C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</w:rPr>
        <w:t>If you prefer, you can create your own small picture first and then put together the instructions for that.</w:t>
      </w:r>
    </w:p>
    <w:p w:rsidR="000A6AD6" w:rsidRDefault="000A6AD6">
      <w:pPr>
        <w:rPr>
          <w:rFonts w:ascii="Quicksand" w:eastAsia="Quicksand" w:hAnsi="Quicksand" w:cs="Quicksand"/>
        </w:rPr>
      </w:pPr>
    </w:p>
    <w:p w:rsidR="000A6AD6" w:rsidRDefault="00AA771C">
      <w:pPr>
        <w:numPr>
          <w:ilvl w:val="0"/>
          <w:numId w:val="1"/>
        </w:numPr>
      </w:pPr>
      <w:r>
        <w:rPr>
          <w:rFonts w:ascii="Quicksand" w:eastAsia="Quicksand" w:hAnsi="Quicksand" w:cs="Quicksand"/>
        </w:rPr>
        <w:t>Can you work out how to resize a column?</w:t>
      </w:r>
    </w:p>
    <w:p w:rsidR="000A6AD6" w:rsidRDefault="00AA771C">
      <w:pPr>
        <w:numPr>
          <w:ilvl w:val="0"/>
          <w:numId w:val="1"/>
        </w:numPr>
      </w:pPr>
      <w:r>
        <w:rPr>
          <w:rFonts w:ascii="Quicksand" w:eastAsia="Quicksand" w:hAnsi="Quicksand" w:cs="Quicksand"/>
          <w:b/>
        </w:rPr>
        <w:t>Top tip:</w:t>
      </w:r>
      <w:r>
        <w:rPr>
          <w:rFonts w:ascii="Quicksand" w:eastAsia="Quicksand" w:hAnsi="Quicksand" w:cs="Quicksand"/>
        </w:rPr>
        <w:t xml:space="preserve"> If you select several columns at the same time you can resize them all together</w:t>
      </w:r>
    </w:p>
    <w:p w:rsidR="000A6AD6" w:rsidRDefault="00AA771C">
      <w:pPr>
        <w:rPr>
          <w:rFonts w:ascii="Quicksand" w:eastAsia="Quicksand" w:hAnsi="Quicksand" w:cs="Quicksand"/>
        </w:rPr>
      </w:pPr>
      <w:r>
        <w:rPr>
          <w:noProof/>
          <w:lang w:val="en-GB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57151</wp:posOffset>
            </wp:positionH>
            <wp:positionV relativeFrom="paragraph">
              <wp:posOffset>209550</wp:posOffset>
            </wp:positionV>
            <wp:extent cx="2795444" cy="2462213"/>
            <wp:effectExtent l="0" t="0" r="0" b="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5444" cy="2462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2847975</wp:posOffset>
            </wp:positionH>
            <wp:positionV relativeFrom="paragraph">
              <wp:posOffset>209550</wp:posOffset>
            </wp:positionV>
            <wp:extent cx="3024188" cy="2628499"/>
            <wp:effectExtent l="0" t="0" r="0" b="0"/>
            <wp:wrapSquare wrapText="bothSides" distT="114300" distB="11430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2628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771C" w:rsidRDefault="00AA771C">
      <w:pPr>
        <w:spacing w:after="200"/>
        <w:rPr>
          <w:rFonts w:ascii="Quicksand" w:eastAsia="Quicksand" w:hAnsi="Quicksand" w:cs="Quicksand"/>
        </w:rPr>
      </w:pPr>
      <w:r>
        <w:rPr>
          <w:noProof/>
          <w:lang w:val="en-GB"/>
        </w:rPr>
        <w:lastRenderedPageBreak/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342900</wp:posOffset>
            </wp:positionV>
            <wp:extent cx="5943600" cy="2679700"/>
            <wp:effectExtent l="0" t="0" r="0" b="0"/>
            <wp:wrapSquare wrapText="bothSides" distT="114300" distB="11430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6AD6" w:rsidRDefault="00AA771C">
      <w:pPr>
        <w:spacing w:after="200"/>
        <w:rPr>
          <w:rFonts w:ascii="Quicksand" w:eastAsia="Quicksand" w:hAnsi="Quicksand" w:cs="Quicksand"/>
        </w:rPr>
      </w:pPr>
      <w:bookmarkStart w:id="0" w:name="_GoBack"/>
      <w:bookmarkEnd w:id="0"/>
      <w:r>
        <w:rPr>
          <w:rFonts w:ascii="Quicksand" w:eastAsia="Quicksand" w:hAnsi="Quicksand" w:cs="Quicksand"/>
        </w:rPr>
        <w:t>Write your instructions here: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A6AD6">
        <w:trPr>
          <w:trHeight w:val="686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AD6" w:rsidRDefault="000A6AD6">
            <w:pPr>
              <w:widowControl w:val="0"/>
              <w:spacing w:line="240" w:lineRule="auto"/>
              <w:rPr>
                <w:rFonts w:ascii="Quicksand" w:eastAsia="Quicksand" w:hAnsi="Quicksand" w:cs="Quicksand"/>
              </w:rPr>
            </w:pPr>
          </w:p>
        </w:tc>
      </w:tr>
    </w:tbl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AA771C">
      <w:pPr>
        <w:rPr>
          <w:rFonts w:ascii="Quicksand" w:eastAsia="Quicksand" w:hAnsi="Quicksand" w:cs="Quicksand"/>
          <w:color w:val="666666"/>
          <w:sz w:val="18"/>
          <w:szCs w:val="18"/>
        </w:rPr>
      </w:pPr>
      <w:r>
        <w:rPr>
          <w:rFonts w:ascii="Quicksand" w:eastAsia="Quicksand" w:hAnsi="Quicksand" w:cs="Quicksand"/>
          <w:color w:val="666666"/>
          <w:sz w:val="18"/>
          <w:szCs w:val="18"/>
        </w:rPr>
        <w:t xml:space="preserve">This resource is available online at </w:t>
      </w:r>
      <w:hyperlink r:id="rId10">
        <w:r>
          <w:rPr>
            <w:rFonts w:ascii="Quicksand" w:eastAsia="Quicksand" w:hAnsi="Quicksand" w:cs="Quicksand"/>
            <w:color w:val="1155CC"/>
            <w:sz w:val="18"/>
            <w:szCs w:val="18"/>
            <w:u w:val="single"/>
          </w:rPr>
          <w:t>ncce.io/sprs-1-a3-w</w:t>
        </w:r>
      </w:hyperlink>
      <w:r>
        <w:rPr>
          <w:rFonts w:ascii="Quicksand" w:eastAsia="Quicksand" w:hAnsi="Quicksand" w:cs="Quicksand"/>
          <w:color w:val="666666"/>
          <w:sz w:val="18"/>
          <w:szCs w:val="18"/>
        </w:rPr>
        <w:t>. Resources are regularly updated — please check that you are using the latest version.</w:t>
      </w:r>
    </w:p>
    <w:p w:rsidR="000A6AD6" w:rsidRDefault="000A6AD6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0A6AD6" w:rsidRDefault="00AA771C">
      <w:pPr>
        <w:rPr>
          <w:rFonts w:ascii="Quicksand" w:eastAsia="Quicksand" w:hAnsi="Quicksand" w:cs="Quicksand"/>
        </w:rPr>
      </w:pPr>
      <w:r>
        <w:rPr>
          <w:rFonts w:ascii="Quicksand" w:eastAsia="Quicksand" w:hAnsi="Quicksand" w:cs="Quicksand"/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rFonts w:ascii="Quicksand" w:eastAsia="Quicksand" w:hAnsi="Quicksand" w:cs="Quicksand"/>
          <w:color w:val="666666"/>
          <w:sz w:val="18"/>
          <w:szCs w:val="18"/>
        </w:rPr>
        <w:t>Licence</w:t>
      </w:r>
      <w:proofErr w:type="spellEnd"/>
      <w:r>
        <w:rPr>
          <w:rFonts w:ascii="Quicksand" w:eastAsia="Quicksand" w:hAnsi="Quicksand" w:cs="Quicksand"/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rFonts w:ascii="Quicksand" w:eastAsia="Quicksand" w:hAnsi="Quicksand" w:cs="Quicksand"/>
          <w:color w:val="666666"/>
          <w:sz w:val="18"/>
          <w:szCs w:val="18"/>
        </w:rPr>
        <w:t>lic</w:t>
      </w:r>
      <w:r>
        <w:rPr>
          <w:rFonts w:ascii="Quicksand" w:eastAsia="Quicksand" w:hAnsi="Quicksand" w:cs="Quicksand"/>
          <w:color w:val="666666"/>
          <w:sz w:val="18"/>
          <w:szCs w:val="18"/>
        </w:rPr>
        <w:t>ence</w:t>
      </w:r>
      <w:proofErr w:type="spellEnd"/>
      <w:r>
        <w:rPr>
          <w:rFonts w:ascii="Quicksand" w:eastAsia="Quicksand" w:hAnsi="Quicksand" w:cs="Quicksand"/>
          <w:color w:val="666666"/>
          <w:sz w:val="18"/>
          <w:szCs w:val="18"/>
        </w:rPr>
        <w:t xml:space="preserve">, see </w:t>
      </w:r>
      <w:hyperlink r:id="rId11">
        <w:r>
          <w:rPr>
            <w:rFonts w:ascii="Quicksand" w:eastAsia="Quicksand" w:hAnsi="Quicksand" w:cs="Quicksand"/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rFonts w:ascii="Quicksand" w:eastAsia="Quicksand" w:hAnsi="Quicksand" w:cs="Quicksand"/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rFonts w:ascii="Quicksand" w:eastAsia="Quicksand" w:hAnsi="Quicksand" w:cs="Quicksand"/>
          <w:color w:val="666666"/>
          <w:sz w:val="18"/>
          <w:szCs w:val="18"/>
        </w:rPr>
        <w:t>.</w:t>
      </w:r>
    </w:p>
    <w:sectPr w:rsidR="000A6AD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771C">
      <w:pPr>
        <w:spacing w:line="240" w:lineRule="auto"/>
      </w:pPr>
      <w:r>
        <w:separator/>
      </w:r>
    </w:p>
  </w:endnote>
  <w:endnote w:type="continuationSeparator" w:id="0">
    <w:p w:rsidR="00000000" w:rsidRDefault="00AA7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D6" w:rsidRDefault="000A6AD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D6" w:rsidRDefault="00AA771C">
    <w:r>
      <w:rPr>
        <w:rFonts w:ascii="Quicksand" w:eastAsia="Quicksand" w:hAnsi="Quicksand" w:cs="Quicksand"/>
        <w:color w:val="666666"/>
        <w:sz w:val="18"/>
        <w:szCs w:val="18"/>
      </w:rPr>
      <w:t xml:space="preserve">Page </w:t>
    </w:r>
    <w:r>
      <w:rPr>
        <w:rFonts w:ascii="Quicksand" w:eastAsia="Quicksand" w:hAnsi="Quicksand" w:cs="Quicksand"/>
        <w:color w:val="666666"/>
        <w:sz w:val="18"/>
        <w:szCs w:val="18"/>
      </w:rPr>
      <w:fldChar w:fldCharType="begin"/>
    </w:r>
    <w:r>
      <w:rPr>
        <w:rFonts w:ascii="Quicksand" w:eastAsia="Quicksand" w:hAnsi="Quicksand" w:cs="Quicksand"/>
        <w:color w:val="666666"/>
        <w:sz w:val="18"/>
        <w:szCs w:val="18"/>
      </w:rPr>
      <w:instrText>PAGE</w:instrText>
    </w:r>
    <w:r>
      <w:rPr>
        <w:rFonts w:ascii="Quicksand" w:eastAsia="Quicksand" w:hAnsi="Quicksand" w:cs="Quicksand"/>
        <w:color w:val="666666"/>
        <w:sz w:val="18"/>
        <w:szCs w:val="18"/>
      </w:rPr>
      <w:fldChar w:fldCharType="separate"/>
    </w:r>
    <w:r>
      <w:rPr>
        <w:rFonts w:ascii="Quicksand" w:eastAsia="Quicksand" w:hAnsi="Quicksand" w:cs="Quicksand"/>
        <w:noProof/>
        <w:color w:val="666666"/>
        <w:sz w:val="18"/>
        <w:szCs w:val="18"/>
      </w:rPr>
      <w:t>1</w:t>
    </w:r>
    <w:r>
      <w:rPr>
        <w:rFonts w:ascii="Quicksand" w:eastAsia="Quicksand" w:hAnsi="Quicksand" w:cs="Quicksand"/>
        <w:color w:val="666666"/>
        <w:sz w:val="18"/>
        <w:szCs w:val="18"/>
      </w:rPr>
      <w:fldChar w:fldCharType="end"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  <w:t>Last updated: 15-08-19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771C">
      <w:pPr>
        <w:spacing w:line="240" w:lineRule="auto"/>
      </w:pPr>
      <w:r>
        <w:separator/>
      </w:r>
    </w:p>
  </w:footnote>
  <w:footnote w:type="continuationSeparator" w:id="0">
    <w:p w:rsidR="00000000" w:rsidRDefault="00AA7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D6" w:rsidRDefault="00AA771C">
    <w:pPr>
      <w:ind w:left="-720" w:right="-690"/>
      <w:rPr>
        <w:color w:val="666666"/>
      </w:rPr>
    </w:pPr>
    <w:r>
      <w:rPr>
        <w:noProof/>
        <w:lang w:val="en-GB"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l="0" t="0" r="0" b="0"/>
          <wp:wrapSquare wrapText="bothSides" distT="19050" distB="19050" distL="19050" distR="1905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0A6AD6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A6AD6" w:rsidRDefault="00AA771C">
          <w:pPr>
            <w:ind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Year 7 – Modelling data - Spreadsheets</w:t>
          </w:r>
        </w:p>
        <w:p w:rsidR="000A6AD6" w:rsidRDefault="00AA771C">
          <w:pPr>
            <w:ind w:left="90"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Lesson 1 – Getting to know a spreadsheet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A6AD6" w:rsidRDefault="00AA771C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Learner activity sheet</w:t>
          </w:r>
        </w:p>
        <w:p w:rsidR="000A6AD6" w:rsidRDefault="000A6AD6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</w:p>
        <w:p w:rsidR="000A6AD6" w:rsidRDefault="00AA771C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hyperlink r:id="rId2">
            <w:r>
              <w:rPr>
                <w:rFonts w:ascii="Quicksand" w:eastAsia="Quicksand" w:hAnsi="Quicksand" w:cs="Quicksand"/>
                <w:color w:val="1155CC"/>
                <w:sz w:val="18"/>
                <w:szCs w:val="18"/>
                <w:u w:val="single"/>
              </w:rPr>
              <w:t>Save a copy</w:t>
            </w:r>
          </w:hyperlink>
        </w:p>
      </w:tc>
    </w:tr>
  </w:tbl>
  <w:p w:rsidR="000A6AD6" w:rsidRDefault="000A6AD6"/>
  <w:p w:rsidR="000A6AD6" w:rsidRDefault="000A6AD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D6" w:rsidRDefault="00AA771C">
    <w:pPr>
      <w:ind w:left="-720" w:right="-690"/>
      <w:rPr>
        <w:color w:val="666666"/>
      </w:rPr>
    </w:pPr>
    <w:r>
      <w:rPr>
        <w:noProof/>
        <w:lang w:val="en-GB"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l="0" t="0" r="0" b="0"/>
          <wp:wrapSquare wrapText="bothSides" distT="19050" distB="19050" distL="19050" distR="1905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0A6AD6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A6AD6" w:rsidRDefault="00AA771C">
          <w:pPr>
            <w:ind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Year 7 – Spreadsheets</w:t>
          </w:r>
        </w:p>
        <w:p w:rsidR="000A6AD6" w:rsidRDefault="00AA771C">
          <w:pPr>
            <w:ind w:left="90"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Lesson 1 – Getting to know a spreadsheet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A6AD6" w:rsidRDefault="00AA771C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Learner activity sheet</w:t>
          </w:r>
        </w:p>
        <w:p w:rsidR="000A6AD6" w:rsidRDefault="000A6AD6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</w:p>
        <w:p w:rsidR="000A6AD6" w:rsidRDefault="00AA771C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hyperlink r:id="rId2">
            <w:r>
              <w:rPr>
                <w:rFonts w:ascii="Quicksand" w:eastAsia="Quicksand" w:hAnsi="Quicksand" w:cs="Quicksand"/>
                <w:color w:val="1155CC"/>
                <w:sz w:val="18"/>
                <w:szCs w:val="18"/>
                <w:u w:val="single"/>
              </w:rPr>
              <w:t>Save a copy</w:t>
            </w:r>
          </w:hyperlink>
        </w:p>
      </w:tc>
    </w:tr>
  </w:tbl>
  <w:p w:rsidR="000A6AD6" w:rsidRDefault="000A6AD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060"/>
    <w:multiLevelType w:val="multilevel"/>
    <w:tmpl w:val="F8A098E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D6"/>
    <w:rsid w:val="000A6AD6"/>
    <w:rsid w:val="00A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BD98"/>
  <w15:docId w15:val="{297DFC84-C98E-44F4-9680-BE4DAA71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cce.io/og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ncce.io/sprs-1-a3-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80uFvil89JV6WF-2bcm2DdryoBrc8UIAmyejsaoM-8c/copy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bYAavylAouIlzZUdrJSKh03L1xcCWPNfWzaERvzKc0U/copy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MCMILLAN</dc:creator>
  <cp:lastModifiedBy>Jessica MCMILLAN</cp:lastModifiedBy>
  <cp:revision>2</cp:revision>
  <dcterms:created xsi:type="dcterms:W3CDTF">2021-08-13T09:05:00Z</dcterms:created>
  <dcterms:modified xsi:type="dcterms:W3CDTF">2021-08-13T09:05:00Z</dcterms:modified>
</cp:coreProperties>
</file>