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157D9" w14:textId="6CF1B435" w:rsidR="008E23AD" w:rsidRDefault="0093448E" w:rsidP="0093448E">
      <w:pPr>
        <w:pStyle w:val="Heading1"/>
      </w:pPr>
      <w:r>
        <w:t>The Biological Explanations of OCD</w:t>
      </w:r>
    </w:p>
    <w:p w14:paraId="53D42A91" w14:textId="77777777" w:rsidR="0093448E" w:rsidRDefault="0093448E" w:rsidP="0093448E"/>
    <w:p w14:paraId="61EF06C1" w14:textId="29A49309" w:rsidR="0093448E" w:rsidRDefault="0093448E" w:rsidP="0093448E">
      <w:pPr>
        <w:pStyle w:val="Heading2"/>
      </w:pPr>
      <w:r>
        <w:t>Preparation tasks</w:t>
      </w:r>
    </w:p>
    <w:p w14:paraId="4858AB23" w14:textId="16204DAF" w:rsidR="0093448E" w:rsidRDefault="0093448E" w:rsidP="0093448E">
      <w:pPr>
        <w:pStyle w:val="ListParagraph"/>
        <w:numPr>
          <w:ilvl w:val="0"/>
          <w:numId w:val="1"/>
        </w:numPr>
      </w:pPr>
      <w:r>
        <w:t>Complete the keywords task</w:t>
      </w:r>
      <w:r w:rsidR="00152FBA">
        <w:t xml:space="preserve"> (overleaf/opposite)</w:t>
      </w:r>
    </w:p>
    <w:p w14:paraId="02D21A55" w14:textId="4EF62C2A" w:rsidR="0093448E" w:rsidRDefault="0093448E" w:rsidP="0093448E">
      <w:pPr>
        <w:pStyle w:val="ListParagraph"/>
        <w:numPr>
          <w:ilvl w:val="0"/>
          <w:numId w:val="1"/>
        </w:numPr>
      </w:pPr>
      <w:r>
        <w:t xml:space="preserve">Watch: </w:t>
      </w:r>
      <w:hyperlink r:id="rId5" w:history="1">
        <w:r w:rsidRPr="002F2382">
          <w:rPr>
            <w:rStyle w:val="Hyperlink"/>
          </w:rPr>
          <w:t>https://www.youtube.com/watch?v=111SCqWOxus</w:t>
        </w:r>
      </w:hyperlink>
    </w:p>
    <w:p w14:paraId="60FC4D56" w14:textId="321477E3" w:rsidR="0093448E" w:rsidRDefault="0093448E" w:rsidP="0093448E">
      <w:pPr>
        <w:pStyle w:val="ListParagraph"/>
        <w:numPr>
          <w:ilvl w:val="0"/>
          <w:numId w:val="1"/>
        </w:numPr>
      </w:pPr>
      <w:r>
        <w:t>Read (digital book pages): 154-155</w:t>
      </w:r>
    </w:p>
    <w:p w14:paraId="195C973E" w14:textId="251AF14A" w:rsidR="002B4883" w:rsidRDefault="002B4883" w:rsidP="0093448E">
      <w:pPr>
        <w:pStyle w:val="ListParagraph"/>
        <w:numPr>
          <w:ilvl w:val="0"/>
          <w:numId w:val="1"/>
        </w:numPr>
      </w:pPr>
      <w:r>
        <w:t xml:space="preserve">Read (topic companion pdf): </w:t>
      </w:r>
      <w:r w:rsidR="0019207C">
        <w:t>28-30</w:t>
      </w:r>
    </w:p>
    <w:p w14:paraId="6377EFED" w14:textId="731BDEE5" w:rsidR="00BC5BCC" w:rsidRDefault="00BC5BCC" w:rsidP="00BC5BCC">
      <w:pPr>
        <w:pStyle w:val="Heading2"/>
      </w:pPr>
      <w:r>
        <w:t>Notes tasks</w:t>
      </w:r>
      <w:r w:rsidR="00770971">
        <w:t xml:space="preserve"> </w:t>
      </w:r>
    </w:p>
    <w:p w14:paraId="5BF9D8CF" w14:textId="47C75589" w:rsidR="00F73EFB" w:rsidRDefault="00F73EFB" w:rsidP="00F73EFB">
      <w:pPr>
        <w:pStyle w:val="Heading3"/>
      </w:pPr>
      <w:r>
        <w:t xml:space="preserve">A01 </w:t>
      </w:r>
      <w:r w:rsidR="00770971">
        <w:t>–</w:t>
      </w:r>
      <w:r>
        <w:t xml:space="preserve"> description</w:t>
      </w:r>
      <w:r w:rsidR="00770971">
        <w:t xml:space="preserve"> (based on digital book)</w:t>
      </w:r>
    </w:p>
    <w:p w14:paraId="1AFF71B7" w14:textId="77777777" w:rsidR="00F73EFB" w:rsidRDefault="00F73EFB" w:rsidP="00F73EFB">
      <w:pPr>
        <w:pStyle w:val="ListParagraph"/>
        <w:numPr>
          <w:ilvl w:val="0"/>
          <w:numId w:val="2"/>
        </w:numPr>
      </w:pPr>
      <w:r>
        <w:t>Read ‘The specification says’ section</w:t>
      </w:r>
    </w:p>
    <w:p w14:paraId="54BA3E44" w14:textId="77777777" w:rsidR="00F73EFB" w:rsidRDefault="00F73EFB" w:rsidP="00F73EFB">
      <w:pPr>
        <w:pStyle w:val="ListParagraph"/>
        <w:numPr>
          <w:ilvl w:val="0"/>
          <w:numId w:val="2"/>
        </w:numPr>
      </w:pPr>
      <w:r>
        <w:t>Check the Lifelines – make sure you scan these to understand the reading</w:t>
      </w:r>
    </w:p>
    <w:p w14:paraId="07F386CE" w14:textId="6F8C9E9A" w:rsidR="00F73EFB" w:rsidRDefault="00F73EFB" w:rsidP="00F73EFB">
      <w:pPr>
        <w:pStyle w:val="ListParagraph"/>
        <w:numPr>
          <w:ilvl w:val="0"/>
          <w:numId w:val="2"/>
        </w:numPr>
      </w:pPr>
      <w:r>
        <w:t xml:space="preserve">Make structured notes from these </w:t>
      </w:r>
      <w:r w:rsidR="00EA2005">
        <w:t>explanations</w:t>
      </w:r>
      <w:r>
        <w:t>.</w:t>
      </w:r>
    </w:p>
    <w:p w14:paraId="2AFBE29B" w14:textId="00AD69E4" w:rsidR="00EA2005" w:rsidRPr="00EA2005" w:rsidRDefault="00F73EFB" w:rsidP="00F73EFB">
      <w:pPr>
        <w:pStyle w:val="ListParagraph"/>
        <w:numPr>
          <w:ilvl w:val="1"/>
          <w:numId w:val="2"/>
        </w:numPr>
      </w:pPr>
      <w:r>
        <w:rPr>
          <w:b/>
          <w:bCs/>
        </w:rPr>
        <w:t>Genetic (</w:t>
      </w:r>
      <w:r w:rsidR="00EA2005">
        <w:rPr>
          <w:b/>
          <w:bCs/>
        </w:rPr>
        <w:t>Lewis study, candidate genes, polygenic, OCD types)</w:t>
      </w:r>
    </w:p>
    <w:p w14:paraId="2C91F438" w14:textId="77777777" w:rsidR="00AD103F" w:rsidRPr="00AD103F" w:rsidRDefault="00EA2005" w:rsidP="00F73EFB">
      <w:pPr>
        <w:pStyle w:val="ListParagraph"/>
        <w:numPr>
          <w:ilvl w:val="1"/>
          <w:numId w:val="2"/>
        </w:numPr>
      </w:pPr>
      <w:r>
        <w:rPr>
          <w:b/>
          <w:bCs/>
        </w:rPr>
        <w:t>Neural (</w:t>
      </w:r>
      <w:r w:rsidR="00AD103F">
        <w:rPr>
          <w:b/>
          <w:bCs/>
        </w:rPr>
        <w:t>role of serotonin, decision-making systems)</w:t>
      </w:r>
    </w:p>
    <w:p w14:paraId="33BA81BE" w14:textId="39533919" w:rsidR="00F73EFB" w:rsidRDefault="00F73EFB" w:rsidP="00F73EFB">
      <w:pPr>
        <w:pStyle w:val="ListParagraph"/>
        <w:numPr>
          <w:ilvl w:val="0"/>
          <w:numId w:val="2"/>
        </w:numPr>
      </w:pPr>
      <w:r>
        <w:t>Wally Extension – complete the E task in the digital book (</w:t>
      </w:r>
      <w:r w:rsidR="00C256C7">
        <w:t>on twin studies</w:t>
      </w:r>
      <w:r>
        <w:t xml:space="preserve">) </w:t>
      </w:r>
    </w:p>
    <w:p w14:paraId="15101DCF" w14:textId="23B7C84C" w:rsidR="00F73EFB" w:rsidRDefault="00F73EFB" w:rsidP="00F73EFB">
      <w:pPr>
        <w:pStyle w:val="Heading3"/>
      </w:pPr>
      <w:r>
        <w:t>A03 – Evaluation</w:t>
      </w:r>
      <w:r w:rsidR="00152FBA">
        <w:t xml:space="preserve"> (Point-Relevance-Conclude)</w:t>
      </w:r>
    </w:p>
    <w:p w14:paraId="47308C2D" w14:textId="76F423BC" w:rsidR="008502C4" w:rsidRDefault="008502C4" w:rsidP="008502C4">
      <w:r>
        <w:t xml:space="preserve">Do separate evaluation for </w:t>
      </w:r>
      <w:r w:rsidR="00C5442A">
        <w:t>the two explanations (genetic, neural)</w:t>
      </w:r>
    </w:p>
    <w:p w14:paraId="535B8D3A" w14:textId="1BFD9968" w:rsidR="0019207C" w:rsidRDefault="0019207C" w:rsidP="008502C4">
      <w:r>
        <w:t xml:space="preserve">The below is based on the digital book – but you can also include any A03 from the </w:t>
      </w:r>
      <w:r w:rsidR="00CA3FC0">
        <w:t>topic companion as well. Decide on what you understand better from your reading and what you will find easier to turn into PRC in an essay!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3049"/>
        <w:gridCol w:w="4047"/>
      </w:tblGrid>
      <w:tr w:rsidR="00F73EFB" w:rsidRPr="00B84520" w14:paraId="4CFC0136" w14:textId="77777777" w:rsidTr="009C0B30">
        <w:trPr>
          <w:trHeight w:val="584"/>
        </w:trPr>
        <w:tc>
          <w:tcPr>
            <w:tcW w:w="0" w:type="auto"/>
            <w:hideMark/>
          </w:tcPr>
          <w:p w14:paraId="7C935F9A" w14:textId="71DEB183" w:rsidR="00F73EFB" w:rsidRPr="00B84520" w:rsidRDefault="00C5442A" w:rsidP="009C0B30">
            <w:pPr>
              <w:spacing w:after="160" w:line="278" w:lineRule="auto"/>
            </w:pPr>
            <w:r>
              <w:rPr>
                <w:b/>
                <w:bCs/>
              </w:rPr>
              <w:t>Genetics</w:t>
            </w:r>
          </w:p>
        </w:tc>
        <w:tc>
          <w:tcPr>
            <w:tcW w:w="0" w:type="auto"/>
            <w:hideMark/>
          </w:tcPr>
          <w:p w14:paraId="3CC78311" w14:textId="16623028" w:rsidR="00F73EFB" w:rsidRPr="00B84520" w:rsidRDefault="00C5442A" w:rsidP="009C0B30">
            <w:pPr>
              <w:spacing w:after="160" w:line="278" w:lineRule="auto"/>
            </w:pPr>
            <w:r>
              <w:rPr>
                <w:b/>
                <w:bCs/>
              </w:rPr>
              <w:t>Neural</w:t>
            </w:r>
          </w:p>
        </w:tc>
      </w:tr>
      <w:tr w:rsidR="00F73EFB" w:rsidRPr="00B84520" w14:paraId="528C777F" w14:textId="77777777" w:rsidTr="009C0B30">
        <w:trPr>
          <w:trHeight w:val="584"/>
        </w:trPr>
        <w:tc>
          <w:tcPr>
            <w:tcW w:w="0" w:type="auto"/>
            <w:hideMark/>
          </w:tcPr>
          <w:p w14:paraId="61BF396A" w14:textId="30A77B96" w:rsidR="00F73EFB" w:rsidRDefault="00C5442A" w:rsidP="009C0B30">
            <w:pPr>
              <w:spacing w:after="160" w:line="278" w:lineRule="auto"/>
            </w:pPr>
            <w:r>
              <w:t>+ Research support</w:t>
            </w:r>
          </w:p>
          <w:p w14:paraId="4ADD52E4" w14:textId="55EEC4E1" w:rsidR="00C5442A" w:rsidRPr="00B84520" w:rsidRDefault="00C5442A" w:rsidP="009C0B30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27C1D81C" w14:textId="06CD62AA" w:rsidR="00F73EFB" w:rsidRPr="00B84520" w:rsidRDefault="007903C6" w:rsidP="009C0B30">
            <w:pPr>
              <w:spacing w:after="160" w:line="278" w:lineRule="auto"/>
            </w:pPr>
            <w:r>
              <w:t>+ Research support</w:t>
            </w:r>
          </w:p>
        </w:tc>
      </w:tr>
      <w:tr w:rsidR="00F73EFB" w:rsidRPr="00B84520" w14:paraId="05BED5CD" w14:textId="77777777" w:rsidTr="009C0B30">
        <w:trPr>
          <w:trHeight w:val="584"/>
        </w:trPr>
        <w:tc>
          <w:tcPr>
            <w:tcW w:w="0" w:type="auto"/>
            <w:hideMark/>
          </w:tcPr>
          <w:p w14:paraId="71D12E5B" w14:textId="36CEDE72" w:rsidR="00F73EFB" w:rsidRPr="00B84520" w:rsidRDefault="00C5442A" w:rsidP="009C0B30">
            <w:pPr>
              <w:spacing w:after="160" w:line="278" w:lineRule="auto"/>
            </w:pPr>
            <w:r>
              <w:t>- Environmental risk factors</w:t>
            </w:r>
          </w:p>
        </w:tc>
        <w:tc>
          <w:tcPr>
            <w:tcW w:w="0" w:type="auto"/>
            <w:hideMark/>
          </w:tcPr>
          <w:p w14:paraId="00EC567E" w14:textId="6D8DC403" w:rsidR="00F73EFB" w:rsidRPr="00B84520" w:rsidRDefault="00613CC8" w:rsidP="009C0B30">
            <w:pPr>
              <w:spacing w:after="160" w:line="278" w:lineRule="auto"/>
            </w:pPr>
            <w:r>
              <w:t>- No unique neural system</w:t>
            </w:r>
          </w:p>
        </w:tc>
      </w:tr>
      <w:tr w:rsidR="00F73EFB" w:rsidRPr="00B84520" w14:paraId="20B29EC0" w14:textId="77777777" w:rsidTr="009C0B30">
        <w:trPr>
          <w:trHeight w:val="584"/>
        </w:trPr>
        <w:tc>
          <w:tcPr>
            <w:tcW w:w="0" w:type="auto"/>
            <w:hideMark/>
          </w:tcPr>
          <w:p w14:paraId="051CCB88" w14:textId="534BEBDD" w:rsidR="00F73EFB" w:rsidRDefault="007903C6" w:rsidP="009C0B30">
            <w:pPr>
              <w:spacing w:after="160" w:line="278" w:lineRule="auto"/>
            </w:pPr>
            <w:r>
              <w:t>+/- Animal studies</w:t>
            </w:r>
          </w:p>
          <w:p w14:paraId="1547BCF5" w14:textId="5550B27B" w:rsidR="007903C6" w:rsidRPr="007903C6" w:rsidRDefault="007903C6" w:rsidP="009C0B30">
            <w:pPr>
              <w:spacing w:after="160" w:line="278" w:lineRule="auto"/>
              <w:rPr>
                <w:b/>
                <w:bCs/>
              </w:rPr>
            </w:pPr>
            <w:r>
              <w:rPr>
                <w:b/>
                <w:bCs/>
              </w:rPr>
              <w:t>MAKE SURE YOU DO THIS!</w:t>
            </w:r>
          </w:p>
          <w:p w14:paraId="3CB8C5E9" w14:textId="77777777" w:rsidR="00F73EFB" w:rsidRPr="00B84520" w:rsidRDefault="00F73EFB" w:rsidP="009C0B30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4CE3CB55" w14:textId="77777777" w:rsidR="00F73EFB" w:rsidRDefault="00613CC8" w:rsidP="009C0B30">
            <w:pPr>
              <w:spacing w:after="160" w:line="278" w:lineRule="auto"/>
            </w:pPr>
            <w:r>
              <w:t>+/- Correlation and causality</w:t>
            </w:r>
          </w:p>
          <w:p w14:paraId="178D3EE5" w14:textId="60EEBF7F" w:rsidR="00613CC8" w:rsidRPr="00613CC8" w:rsidRDefault="00613CC8" w:rsidP="009C0B30">
            <w:pPr>
              <w:spacing w:after="160" w:line="278" w:lineRule="auto"/>
              <w:rPr>
                <w:b/>
                <w:bCs/>
              </w:rPr>
            </w:pPr>
            <w:r>
              <w:rPr>
                <w:b/>
                <w:bCs/>
              </w:rPr>
              <w:t>MAKE SURE YOU DO THIS AS WELL!</w:t>
            </w:r>
          </w:p>
        </w:tc>
      </w:tr>
    </w:tbl>
    <w:p w14:paraId="4B26A810" w14:textId="77777777" w:rsidR="00F73EFB" w:rsidRDefault="00F73EFB" w:rsidP="00F73EFB"/>
    <w:p w14:paraId="250A5E22" w14:textId="77777777" w:rsidR="00F73EFB" w:rsidRDefault="00F73EFB" w:rsidP="00F73EFB">
      <w:pPr>
        <w:pStyle w:val="Heading2"/>
      </w:pPr>
      <w:r>
        <w:t>Quiz, Apply It</w:t>
      </w:r>
    </w:p>
    <w:p w14:paraId="19C9FC8B" w14:textId="77777777" w:rsidR="00F73EFB" w:rsidRDefault="00F73EFB" w:rsidP="00F73EFB">
      <w:pPr>
        <w:pStyle w:val="ListParagraph"/>
        <w:numPr>
          <w:ilvl w:val="0"/>
          <w:numId w:val="3"/>
        </w:numPr>
      </w:pPr>
      <w:r>
        <w:t>Complete the quiz to test your understanding</w:t>
      </w:r>
    </w:p>
    <w:p w14:paraId="1460F475" w14:textId="17A814F5" w:rsidR="00770971" w:rsidRDefault="00F73EFB" w:rsidP="00BC5BCC">
      <w:pPr>
        <w:pStyle w:val="ListParagraph"/>
        <w:numPr>
          <w:ilvl w:val="0"/>
          <w:numId w:val="3"/>
        </w:numPr>
      </w:pPr>
      <w:r>
        <w:t>Do the Apply It questions and check your answers – write your answers into your Attachment books after your notes on this topic.</w:t>
      </w:r>
    </w:p>
    <w:p w14:paraId="2638C795" w14:textId="77777777" w:rsidR="00770971" w:rsidRDefault="00770971">
      <w:r>
        <w:br w:type="page"/>
      </w:r>
    </w:p>
    <w:p w14:paraId="3A3BFE0E" w14:textId="77777777" w:rsidR="00770971" w:rsidRDefault="00770971" w:rsidP="00770971">
      <w:pPr>
        <w:pStyle w:val="Heading1"/>
      </w:pPr>
      <w:r>
        <w:lastRenderedPageBreak/>
        <w:t>Biological Explanations of OCD – Keywords Dictionary</w:t>
      </w:r>
    </w:p>
    <w:p w14:paraId="2A8E2200" w14:textId="77777777" w:rsidR="00770971" w:rsidRDefault="00770971" w:rsidP="00770971">
      <w:r>
        <w:t>Use the textbook (physical / digital) or any other resource to create definitions for the following terms. Be careful of using online resources – they can be a) wrong (so need checking) or b) too complex.</w:t>
      </w:r>
    </w:p>
    <w:p w14:paraId="29BB1558" w14:textId="77777777" w:rsidR="00770971" w:rsidRDefault="00770971" w:rsidP="00770971">
      <w:r>
        <w:t>You will find the definitions within the text (double spread) or in the index/glossary. Google Gemini is also good for the brain structures (*) as it will show you images of the areas involved together with descriptions.</w:t>
      </w:r>
    </w:p>
    <w:p w14:paraId="092EA56B" w14:textId="77777777" w:rsidR="00770971" w:rsidRDefault="00770971" w:rsidP="00770971">
      <w:r>
        <w:t>The terms are organised into categories to help you learn them.</w:t>
      </w:r>
    </w:p>
    <w:p w14:paraId="5D8CA22E" w14:textId="77777777" w:rsidR="00770971" w:rsidRDefault="00770971" w:rsidP="00770971">
      <w:pPr>
        <w:pStyle w:val="Heading2"/>
      </w:pPr>
      <w:r>
        <w:t>Basic terms</w:t>
      </w:r>
    </w:p>
    <w:p w14:paraId="7736B445" w14:textId="77777777" w:rsidR="00770971" w:rsidRDefault="00770971" w:rsidP="00770971">
      <w:pPr>
        <w:pStyle w:val="ListParagraph"/>
        <w:numPr>
          <w:ilvl w:val="0"/>
          <w:numId w:val="5"/>
        </w:numPr>
      </w:pPr>
      <w:r>
        <w:t>Biological approach</w:t>
      </w:r>
    </w:p>
    <w:p w14:paraId="08AEBB0C" w14:textId="77777777" w:rsidR="00770971" w:rsidRDefault="00770971" w:rsidP="00770971">
      <w:pPr>
        <w:pStyle w:val="ListParagraph"/>
        <w:numPr>
          <w:ilvl w:val="0"/>
          <w:numId w:val="5"/>
        </w:numPr>
      </w:pPr>
      <w:r>
        <w:t>Genetic explanations</w:t>
      </w:r>
    </w:p>
    <w:p w14:paraId="324A7821" w14:textId="77777777" w:rsidR="00770971" w:rsidRDefault="00770971" w:rsidP="00770971">
      <w:pPr>
        <w:pStyle w:val="ListParagraph"/>
        <w:numPr>
          <w:ilvl w:val="0"/>
          <w:numId w:val="5"/>
        </w:numPr>
      </w:pPr>
      <w:r>
        <w:t>Neural explanations</w:t>
      </w:r>
    </w:p>
    <w:p w14:paraId="6DEF4960" w14:textId="77777777" w:rsidR="00770971" w:rsidRDefault="00770971" w:rsidP="00770971">
      <w:pPr>
        <w:pStyle w:val="ListParagraph"/>
        <w:numPr>
          <w:ilvl w:val="0"/>
          <w:numId w:val="5"/>
        </w:numPr>
      </w:pPr>
      <w:r>
        <w:t>Aetiologically heterogenous</w:t>
      </w:r>
    </w:p>
    <w:p w14:paraId="0FDEDB58" w14:textId="77777777" w:rsidR="00770971" w:rsidRDefault="00770971" w:rsidP="00770971">
      <w:pPr>
        <w:pStyle w:val="ListParagraph"/>
        <w:numPr>
          <w:ilvl w:val="0"/>
          <w:numId w:val="5"/>
        </w:numPr>
      </w:pPr>
      <w:r>
        <w:t>Antidepressant</w:t>
      </w:r>
    </w:p>
    <w:p w14:paraId="73916EFF" w14:textId="77777777" w:rsidR="00770971" w:rsidRDefault="00770971" w:rsidP="00770971">
      <w:pPr>
        <w:pStyle w:val="ListParagraph"/>
        <w:numPr>
          <w:ilvl w:val="0"/>
          <w:numId w:val="5"/>
        </w:numPr>
      </w:pPr>
      <w:r>
        <w:t>Co-morbidity</w:t>
      </w:r>
    </w:p>
    <w:p w14:paraId="2D5C1709" w14:textId="77777777" w:rsidR="00770971" w:rsidRDefault="00770971" w:rsidP="00770971">
      <w:pPr>
        <w:pStyle w:val="ListParagraph"/>
      </w:pPr>
    </w:p>
    <w:p w14:paraId="40EC8B69" w14:textId="77777777" w:rsidR="00770971" w:rsidRDefault="00770971" w:rsidP="00770971">
      <w:pPr>
        <w:pStyle w:val="Heading2"/>
      </w:pPr>
      <w:r>
        <w:t>Genetics</w:t>
      </w:r>
    </w:p>
    <w:p w14:paraId="4DAD1E80" w14:textId="77777777" w:rsidR="00770971" w:rsidRDefault="00770971" w:rsidP="00770971">
      <w:pPr>
        <w:pStyle w:val="ListParagraph"/>
        <w:numPr>
          <w:ilvl w:val="0"/>
          <w:numId w:val="5"/>
        </w:numPr>
      </w:pPr>
      <w:r>
        <w:t>Gene</w:t>
      </w:r>
    </w:p>
    <w:p w14:paraId="0577E8CC" w14:textId="77777777" w:rsidR="00770971" w:rsidRDefault="00770971" w:rsidP="00770971">
      <w:pPr>
        <w:pStyle w:val="ListParagraph"/>
        <w:numPr>
          <w:ilvl w:val="0"/>
          <w:numId w:val="5"/>
        </w:numPr>
      </w:pPr>
      <w:r>
        <w:t>Diathesis-stress model</w:t>
      </w:r>
    </w:p>
    <w:p w14:paraId="642A9AD8" w14:textId="77777777" w:rsidR="00770971" w:rsidRDefault="00770971" w:rsidP="00770971">
      <w:pPr>
        <w:pStyle w:val="ListParagraph"/>
        <w:numPr>
          <w:ilvl w:val="0"/>
          <w:numId w:val="5"/>
        </w:numPr>
      </w:pPr>
      <w:r>
        <w:t>Candidate genes</w:t>
      </w:r>
    </w:p>
    <w:p w14:paraId="51834E46" w14:textId="77777777" w:rsidR="00770971" w:rsidRDefault="00770971" w:rsidP="00770971">
      <w:pPr>
        <w:pStyle w:val="ListParagraph"/>
        <w:numPr>
          <w:ilvl w:val="0"/>
          <w:numId w:val="5"/>
        </w:numPr>
      </w:pPr>
      <w:r>
        <w:t>Polygenic</w:t>
      </w:r>
    </w:p>
    <w:p w14:paraId="355EAC4C" w14:textId="77777777" w:rsidR="00770971" w:rsidRDefault="00770971" w:rsidP="00770971">
      <w:pPr>
        <w:pStyle w:val="Heading2"/>
      </w:pPr>
      <w:r>
        <w:t>Neurotransmission</w:t>
      </w:r>
    </w:p>
    <w:p w14:paraId="0C04A36C" w14:textId="77777777" w:rsidR="00770971" w:rsidRDefault="00770971" w:rsidP="00770971">
      <w:pPr>
        <w:pStyle w:val="ListParagraph"/>
        <w:numPr>
          <w:ilvl w:val="0"/>
          <w:numId w:val="5"/>
        </w:numPr>
      </w:pPr>
      <w:r>
        <w:t>Neuron</w:t>
      </w:r>
    </w:p>
    <w:p w14:paraId="28FE2879" w14:textId="77777777" w:rsidR="00770971" w:rsidRDefault="00770971" w:rsidP="00770971">
      <w:pPr>
        <w:pStyle w:val="ListParagraph"/>
        <w:numPr>
          <w:ilvl w:val="0"/>
          <w:numId w:val="5"/>
        </w:numPr>
      </w:pPr>
      <w:r>
        <w:t>Neurotransmitters</w:t>
      </w:r>
    </w:p>
    <w:p w14:paraId="39637350" w14:textId="77777777" w:rsidR="00770971" w:rsidRDefault="00770971" w:rsidP="00770971">
      <w:pPr>
        <w:pStyle w:val="ListParagraph"/>
        <w:numPr>
          <w:ilvl w:val="0"/>
          <w:numId w:val="5"/>
        </w:numPr>
      </w:pPr>
      <w:r>
        <w:t>Dopamine</w:t>
      </w:r>
    </w:p>
    <w:p w14:paraId="374B973C" w14:textId="77777777" w:rsidR="00770971" w:rsidRDefault="00770971" w:rsidP="00770971">
      <w:pPr>
        <w:pStyle w:val="ListParagraph"/>
        <w:numPr>
          <w:ilvl w:val="0"/>
          <w:numId w:val="5"/>
        </w:numPr>
      </w:pPr>
      <w:r>
        <w:t>Serotonin</w:t>
      </w:r>
    </w:p>
    <w:p w14:paraId="69F5A419" w14:textId="77777777" w:rsidR="00770971" w:rsidRDefault="00770971" w:rsidP="00770971">
      <w:pPr>
        <w:pStyle w:val="ListParagraph"/>
        <w:numPr>
          <w:ilvl w:val="0"/>
          <w:numId w:val="5"/>
        </w:numPr>
      </w:pPr>
      <w:r>
        <w:t>Synapse</w:t>
      </w:r>
    </w:p>
    <w:p w14:paraId="0FA541FB" w14:textId="77777777" w:rsidR="00770971" w:rsidRDefault="00770971" w:rsidP="00770971">
      <w:pPr>
        <w:pStyle w:val="Heading2"/>
      </w:pPr>
      <w:r>
        <w:t>Brain structure</w:t>
      </w:r>
    </w:p>
    <w:p w14:paraId="51E0E711" w14:textId="77777777" w:rsidR="00770971" w:rsidRDefault="00770971" w:rsidP="00770971">
      <w:pPr>
        <w:pStyle w:val="ListParagraph"/>
        <w:numPr>
          <w:ilvl w:val="0"/>
          <w:numId w:val="5"/>
        </w:numPr>
      </w:pPr>
      <w:r>
        <w:t>Frontal lobe *</w:t>
      </w:r>
    </w:p>
    <w:p w14:paraId="3C0D4973" w14:textId="77777777" w:rsidR="00770971" w:rsidRDefault="00770971" w:rsidP="00770971">
      <w:pPr>
        <w:pStyle w:val="ListParagraph"/>
        <w:numPr>
          <w:ilvl w:val="0"/>
          <w:numId w:val="5"/>
        </w:numPr>
      </w:pPr>
      <w:r>
        <w:t>Parahippocampal gyrus *</w:t>
      </w:r>
    </w:p>
    <w:p w14:paraId="1AD27A3C" w14:textId="77777777" w:rsidR="00BC5BCC" w:rsidRPr="00BC5BCC" w:rsidRDefault="00BC5BCC" w:rsidP="00770971"/>
    <w:sectPr w:rsidR="00BC5BCC" w:rsidRPr="00BC5BCC" w:rsidSect="00770971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E4292"/>
    <w:multiLevelType w:val="hybridMultilevel"/>
    <w:tmpl w:val="47725760"/>
    <w:lvl w:ilvl="0" w:tplc="2B2CC58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903B9"/>
    <w:multiLevelType w:val="hybridMultilevel"/>
    <w:tmpl w:val="BE8EE18A"/>
    <w:lvl w:ilvl="0" w:tplc="5A26009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33EF4"/>
    <w:multiLevelType w:val="hybridMultilevel"/>
    <w:tmpl w:val="D3260918"/>
    <w:lvl w:ilvl="0" w:tplc="5A26009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7008C"/>
    <w:multiLevelType w:val="hybridMultilevel"/>
    <w:tmpl w:val="B23072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F72FA"/>
    <w:multiLevelType w:val="hybridMultilevel"/>
    <w:tmpl w:val="59740820"/>
    <w:lvl w:ilvl="0" w:tplc="2B2CC58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84067">
    <w:abstractNumId w:val="2"/>
  </w:num>
  <w:num w:numId="2" w16cid:durableId="1424110065">
    <w:abstractNumId w:val="4"/>
  </w:num>
  <w:num w:numId="3" w16cid:durableId="1646663409">
    <w:abstractNumId w:val="0"/>
  </w:num>
  <w:num w:numId="4" w16cid:durableId="677780356">
    <w:abstractNumId w:val="3"/>
  </w:num>
  <w:num w:numId="5" w16cid:durableId="282157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E"/>
    <w:rsid w:val="00152FBA"/>
    <w:rsid w:val="0019207C"/>
    <w:rsid w:val="002B4883"/>
    <w:rsid w:val="0052476A"/>
    <w:rsid w:val="00613CC8"/>
    <w:rsid w:val="006A0F9E"/>
    <w:rsid w:val="00770971"/>
    <w:rsid w:val="007903C6"/>
    <w:rsid w:val="008502C4"/>
    <w:rsid w:val="008E23AD"/>
    <w:rsid w:val="0093448E"/>
    <w:rsid w:val="00AD103F"/>
    <w:rsid w:val="00BC5BCC"/>
    <w:rsid w:val="00C256C7"/>
    <w:rsid w:val="00C5442A"/>
    <w:rsid w:val="00CA3FC0"/>
    <w:rsid w:val="00EA2005"/>
    <w:rsid w:val="00EF3DCD"/>
    <w:rsid w:val="00F7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697D79"/>
  <w15:chartTrackingRefBased/>
  <w15:docId w15:val="{54D448A2-04F4-B44A-9485-F64A90FC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34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4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44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4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11SCqWOxu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3A59EB86685459DDDBAE59B64CC04" ma:contentTypeVersion="17" ma:contentTypeDescription="Create a new document." ma:contentTypeScope="" ma:versionID="7f84b52c365f969b9900d191970dd785">
  <xsd:schema xmlns:xsd="http://www.w3.org/2001/XMLSchema" xmlns:xs="http://www.w3.org/2001/XMLSchema" xmlns:p="http://schemas.microsoft.com/office/2006/metadata/properties" xmlns:ns2="ad89ce95-d1b6-4d5e-b677-7cca411aa0d9" xmlns:ns3="506e4013-1c0c-4111-9426-d4a345a2e8ca" targetNamespace="http://schemas.microsoft.com/office/2006/metadata/properties" ma:root="true" ma:fieldsID="274510aaa2cbc702d7d92c40fcba3b82" ns2:_="" ns3:_="">
    <xsd:import namespace="ad89ce95-d1b6-4d5e-b677-7cca411aa0d9"/>
    <xsd:import namespace="506e4013-1c0c-4111-9426-d4a345a2e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ce95-d1b6-4d5e-b677-7cca411a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d0ac55-8370-45de-8d35-391d2d053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4013-1c0c-4111-9426-d4a345a2e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c15fa1e-c926-42ca-bfe6-b20ae44258bd}" ma:internalName="TaxCatchAll" ma:showField="CatchAllData" ma:web="506e4013-1c0c-4111-9426-d4a345a2e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e4013-1c0c-4111-9426-d4a345a2e8ca" xsi:nil="true"/>
    <lcf76f155ced4ddcb4097134ff3c332f xmlns="ad89ce95-d1b6-4d5e-b677-7cca411aa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25B16A-C1D2-471F-86A1-9B26785810B1}"/>
</file>

<file path=customXml/itemProps2.xml><?xml version="1.0" encoding="utf-8"?>
<ds:datastoreItem xmlns:ds="http://schemas.openxmlformats.org/officeDocument/2006/customXml" ds:itemID="{E565EEA7-E521-4FF1-BAB4-2D9869928597}"/>
</file>

<file path=customXml/itemProps3.xml><?xml version="1.0" encoding="utf-8"?>
<ds:datastoreItem xmlns:ds="http://schemas.openxmlformats.org/officeDocument/2006/customXml" ds:itemID="{7816CEFD-BBC3-41C8-A04F-5212E7E1BF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LEIGH</dc:creator>
  <cp:keywords/>
  <dc:description/>
  <cp:lastModifiedBy>Vernon LEIGH</cp:lastModifiedBy>
  <cp:revision>16</cp:revision>
  <dcterms:created xsi:type="dcterms:W3CDTF">2025-05-11T12:44:00Z</dcterms:created>
  <dcterms:modified xsi:type="dcterms:W3CDTF">2025-05-11T12:57:00Z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0x010100EC13A59EB86685459DDDBAE59B64CC04</vt:lpwstr>
  </property>
</Properties>
</file>