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1BC0" w:rsidP="00FE56E8" w:rsidRDefault="00FE56E8" w14:paraId="063B2226" w14:textId="5A215094">
      <w:pPr>
        <w:pStyle w:val="Heading1"/>
      </w:pPr>
      <w:r>
        <w:t>Situational explanations of obedience</w:t>
      </w:r>
    </w:p>
    <w:p w:rsidR="00FE56E8" w:rsidP="00FE56E8" w:rsidRDefault="00FE56E8" w14:paraId="4B06058B" w14:textId="2D357294">
      <w:pPr>
        <w:pStyle w:val="Heading2"/>
      </w:pPr>
      <w:r>
        <w:t>Agency theory</w:t>
      </w:r>
    </w:p>
    <w:p w:rsidR="00FE56E8" w:rsidP="00FE56E8" w:rsidRDefault="00FE56E8" w14:paraId="39780071" w14:textId="1257BD4E">
      <w:pPr>
        <w:pStyle w:val="Heading3"/>
      </w:pPr>
      <w:r>
        <w:t>A01 – description</w:t>
      </w:r>
    </w:p>
    <w:p w:rsidR="00FE56E8" w:rsidP="00FE56E8" w:rsidRDefault="00FE56E8" w14:paraId="73128993" w14:textId="127DA461">
      <w:pPr>
        <w:pStyle w:val="ListParagraph"/>
        <w:numPr>
          <w:ilvl w:val="0"/>
          <w:numId w:val="1"/>
        </w:numPr>
      </w:pPr>
      <w:r>
        <w:t>Briefly define your key terms: agentic state, autonomous state, moral strain</w:t>
      </w:r>
    </w:p>
    <w:p w:rsidR="00FE56E8" w:rsidP="00FE56E8" w:rsidRDefault="00FE56E8" w14:paraId="07607627" w14:textId="4626A782">
      <w:pPr>
        <w:pStyle w:val="ListParagraph"/>
        <w:numPr>
          <w:ilvl w:val="0"/>
          <w:numId w:val="1"/>
        </w:numPr>
        <w:rPr/>
      </w:pPr>
      <w:r w:rsidR="00FE56E8">
        <w:rPr/>
        <w:t xml:space="preserve">Read and make notes </w:t>
      </w:r>
      <w:r w:rsidR="5AD634EF">
        <w:rPr/>
        <w:t>on</w:t>
      </w:r>
      <w:r w:rsidR="00FE56E8">
        <w:rPr/>
        <w:t xml:space="preserve"> agentic state, autonomous state, binding factors</w:t>
      </w:r>
    </w:p>
    <w:p w:rsidR="00FE56E8" w:rsidP="00FE56E8" w:rsidRDefault="00FE56E8" w14:paraId="58D72F86" w14:textId="095EEF88">
      <w:pPr>
        <w:pStyle w:val="Heading3"/>
      </w:pPr>
      <w:r>
        <w:t>A03 – evaluation</w:t>
      </w:r>
    </w:p>
    <w:p w:rsidR="00FE56E8" w:rsidP="00FE56E8" w:rsidRDefault="00FE56E8" w14:paraId="3EED22D8" w14:textId="07EA57F6">
      <w:pPr>
        <w:pStyle w:val="ListParagraph"/>
        <w:numPr>
          <w:ilvl w:val="0"/>
          <w:numId w:val="2"/>
        </w:numPr>
      </w:pPr>
      <w:r>
        <w:t>Read and make A03 (point/evidence/conclude) notes</w:t>
      </w:r>
      <w:r w:rsidR="00084FF1">
        <w:t>. You need about 4-5 evaluation points (4 in detail, 1 just in case!)</w:t>
      </w:r>
    </w:p>
    <w:p w:rsidR="00084FF1" w:rsidP="00084FF1" w:rsidRDefault="00084FF1" w14:paraId="527B4422" w14:textId="23CB424F">
      <w:pPr>
        <w:pStyle w:val="ListParagraph"/>
        <w:numPr>
          <w:ilvl w:val="1"/>
          <w:numId w:val="2"/>
        </w:numPr>
      </w:pPr>
      <w:r>
        <w:t>Information on opposite page</w:t>
      </w:r>
    </w:p>
    <w:p w:rsidR="00084FF1" w:rsidP="00084FF1" w:rsidRDefault="00084FF1" w14:paraId="04A44C28" w14:textId="2010B2AD">
      <w:pPr>
        <w:pStyle w:val="ListParagraph"/>
        <w:numPr>
          <w:ilvl w:val="1"/>
          <w:numId w:val="2"/>
        </w:numPr>
      </w:pPr>
      <w:r>
        <w:t>Book evaluation</w:t>
      </w:r>
    </w:p>
    <w:p w:rsidR="00FE56E8" w:rsidP="00084FF1" w:rsidRDefault="00FE56E8" w14:paraId="33696F4D" w14:textId="3C332EAD">
      <w:pPr>
        <w:pStyle w:val="ListParagraph"/>
        <w:numPr>
          <w:ilvl w:val="2"/>
          <w:numId w:val="2"/>
        </w:numPr>
      </w:pPr>
      <w:r>
        <w:t>+ Research support (from Milgram)</w:t>
      </w:r>
    </w:p>
    <w:p w:rsidR="00FE56E8" w:rsidP="00084FF1" w:rsidRDefault="00FE56E8" w14:paraId="386E8AE0" w14:textId="13890C8D">
      <w:pPr>
        <w:pStyle w:val="ListParagraph"/>
        <w:numPr>
          <w:ilvl w:val="2"/>
          <w:numId w:val="2"/>
        </w:numPr>
      </w:pPr>
      <w:r>
        <w:t>– Limitations of the explanation (Birney et al., 2024)</w:t>
      </w:r>
    </w:p>
    <w:p w:rsidR="00FE56E8" w:rsidP="00084FF1" w:rsidRDefault="00FE56E8" w14:paraId="783CE835" w14:textId="4F72116A">
      <w:pPr>
        <w:pStyle w:val="ListParagraph"/>
        <w:numPr>
          <w:ilvl w:val="2"/>
          <w:numId w:val="2"/>
        </w:numPr>
      </w:pPr>
      <w:r>
        <w:t>– Mandel (1998) and Police Battalion 101</w:t>
      </w:r>
    </w:p>
    <w:p w:rsidR="00FE56E8" w:rsidP="00FE56E8" w:rsidRDefault="00FE56E8" w14:paraId="0CFC875D" w14:textId="77777777">
      <w:pPr>
        <w:pStyle w:val="Heading2"/>
      </w:pPr>
      <w:r>
        <w:t>Agency theory</w:t>
      </w:r>
    </w:p>
    <w:p w:rsidR="00FE56E8" w:rsidP="00FE56E8" w:rsidRDefault="00FE56E8" w14:paraId="4EE1A472" w14:textId="77777777">
      <w:pPr>
        <w:pStyle w:val="Heading3"/>
      </w:pPr>
      <w:r>
        <w:t>A01 – description</w:t>
      </w:r>
    </w:p>
    <w:p w:rsidR="00FE56E8" w:rsidP="00FE56E8" w:rsidRDefault="00FE56E8" w14:paraId="416E82F4" w14:textId="2723294D">
      <w:pPr>
        <w:pStyle w:val="ListParagraph"/>
        <w:numPr>
          <w:ilvl w:val="0"/>
          <w:numId w:val="1"/>
        </w:numPr>
      </w:pPr>
      <w:r>
        <w:t>Briefly define your key terms: legitimacy of authority</w:t>
      </w:r>
    </w:p>
    <w:p w:rsidR="00FE56E8" w:rsidP="00FE56E8" w:rsidRDefault="00FE56E8" w14:paraId="47A2A6CD" w14:textId="05BD2F96">
      <w:pPr>
        <w:pStyle w:val="ListParagraph"/>
        <w:numPr>
          <w:ilvl w:val="0"/>
          <w:numId w:val="1"/>
        </w:numPr>
      </w:pPr>
      <w:r>
        <w:t xml:space="preserve">Read and make notes </w:t>
      </w:r>
      <w:proofErr w:type="gramStart"/>
      <w:r>
        <w:t>on:</w:t>
      </w:r>
      <w:proofErr w:type="gramEnd"/>
      <w:r>
        <w:t xml:space="preserve"> legitimacy of authority, destructive authority</w:t>
      </w:r>
    </w:p>
    <w:p w:rsidR="00FE56E8" w:rsidP="00FE56E8" w:rsidRDefault="00FE56E8" w14:paraId="45E5F059" w14:textId="77777777">
      <w:pPr>
        <w:pStyle w:val="Heading3"/>
      </w:pPr>
      <w:r>
        <w:t>A03 – evaluation</w:t>
      </w:r>
    </w:p>
    <w:p w:rsidR="00FE56E8" w:rsidP="00FE56E8" w:rsidRDefault="00FE56E8" w14:paraId="21425310" w14:textId="77777777">
      <w:pPr>
        <w:pStyle w:val="ListParagraph"/>
        <w:numPr>
          <w:ilvl w:val="0"/>
          <w:numId w:val="2"/>
        </w:numPr>
      </w:pPr>
      <w:r>
        <w:t>Read and make A03 (point/evidence/conclude) notes on:</w:t>
      </w:r>
    </w:p>
    <w:p w:rsidR="00FE56E8" w:rsidP="00FE56E8" w:rsidRDefault="00FE56E8" w14:paraId="01F8A5B1" w14:textId="00CAC3C5">
      <w:pPr>
        <w:pStyle w:val="ListParagraph"/>
        <w:numPr>
          <w:ilvl w:val="1"/>
          <w:numId w:val="2"/>
        </w:numPr>
      </w:pPr>
      <w:r>
        <w:t>+ Explains cultural differences in obedience</w:t>
      </w:r>
    </w:p>
    <w:p w:rsidR="00FE56E8" w:rsidP="00FE56E8" w:rsidRDefault="00FE56E8" w14:paraId="0DC5B37F" w14:textId="00046091">
      <w:pPr>
        <w:pStyle w:val="ListParagraph"/>
        <w:numPr>
          <w:ilvl w:val="1"/>
          <w:numId w:val="2"/>
        </w:numPr>
      </w:pPr>
      <w:r>
        <w:t xml:space="preserve">– Can’t explain </w:t>
      </w:r>
      <w:r w:rsidRPr="00FE56E8">
        <w:rPr>
          <w:i/>
          <w:iCs/>
        </w:rPr>
        <w:t>disobedience</w:t>
      </w:r>
      <w:r>
        <w:t xml:space="preserve"> when the hierarchy is clear</w:t>
      </w:r>
    </w:p>
    <w:p w:rsidR="00FE56E8" w:rsidP="00FE56E8" w:rsidRDefault="00FE56E8" w14:paraId="7290F052" w14:textId="3EF1EF6C">
      <w:pPr>
        <w:pStyle w:val="ListParagraph"/>
        <w:numPr>
          <w:ilvl w:val="1"/>
          <w:numId w:val="2"/>
        </w:numPr>
      </w:pPr>
      <w:r>
        <w:t>+ Explains real world obedience (My Lai)</w:t>
      </w:r>
    </w:p>
    <w:p w:rsidR="00FE56E8" w:rsidP="00FE56E8" w:rsidRDefault="00FE56E8" w14:paraId="6D7EE9F1" w14:textId="65F9A13F">
      <w:pPr>
        <w:pStyle w:val="Heading3"/>
      </w:pPr>
      <w:r>
        <w:t>Practice Questions</w:t>
      </w:r>
    </w:p>
    <w:p w:rsidR="00FE56E8" w:rsidP="00FE56E8" w:rsidRDefault="00FE56E8" w14:paraId="40BD5257" w14:textId="7F203ADE">
      <w:pPr>
        <w:pStyle w:val="ListParagraph"/>
        <w:numPr>
          <w:ilvl w:val="0"/>
          <w:numId w:val="3"/>
        </w:numPr>
      </w:pPr>
      <w:r>
        <w:t>Complete the Apply It Concepts Question (My Lai)</w:t>
      </w:r>
    </w:p>
    <w:p w:rsidR="00FE56E8" w:rsidP="00FE56E8" w:rsidRDefault="00FE56E8" w14:paraId="3950B379" w14:textId="03B1ADDE">
      <w:pPr>
        <w:pStyle w:val="ListParagraph"/>
        <w:numPr>
          <w:ilvl w:val="0"/>
          <w:numId w:val="3"/>
        </w:numPr>
      </w:pPr>
      <w:r>
        <w:t xml:space="preserve">Complete Check It questions </w:t>
      </w:r>
      <w:proofErr w:type="gramStart"/>
      <w:r>
        <w:t>1  +</w:t>
      </w:r>
      <w:proofErr w:type="gramEnd"/>
      <w:r>
        <w:t xml:space="preserve"> 2</w:t>
      </w:r>
    </w:p>
    <w:p w:rsidR="00084FF1" w:rsidP="00084FF1" w:rsidRDefault="00084FF1" w14:paraId="644AD75E" w14:textId="77777777"/>
    <w:p w:rsidR="00084FF1" w:rsidRDefault="00084FF1" w14:paraId="67DCB190" w14:textId="1894C8B7">
      <w:r>
        <w:br w:type="page"/>
      </w:r>
    </w:p>
    <w:p w:rsidR="00084FF1" w:rsidP="00084FF1" w:rsidRDefault="00084FF1" w14:paraId="6D65100F" w14:textId="66BAE306">
      <w:pPr>
        <w:pStyle w:val="Heading1"/>
      </w:pPr>
      <w:r>
        <w:lastRenderedPageBreak/>
        <w:t>Evaluating Milgram’s Agency Theory</w:t>
      </w:r>
    </w:p>
    <w:p w:rsidRPr="00084FF1" w:rsidR="00084FF1" w:rsidP="00084FF1" w:rsidRDefault="00084FF1" w14:paraId="244D2A2E" w14:textId="6B7C69B8">
      <w:pPr>
        <w:rPr>
          <w:rFonts w:ascii="Times" w:hAnsi="Times" w:cs="Times"/>
          <w:sz w:val="22"/>
        </w:rPr>
      </w:pPr>
      <w:r>
        <w:rPr>
          <w:sz w:val="22"/>
        </w:rPr>
        <w:t>K</w:t>
      </w:r>
      <w:r w:rsidRPr="00821213">
        <w:rPr>
          <w:sz w:val="22"/>
        </w:rPr>
        <w:t>nowledge of the theory allows an individual to examine the reasons why they are obeying a questionable order and the factors that are working upon them. This self-knowledge woul</w:t>
      </w:r>
      <w:r>
        <w:rPr>
          <w:sz w:val="22"/>
        </w:rPr>
        <w:t xml:space="preserve">d allow an individual to make an </w:t>
      </w:r>
      <w:r w:rsidRPr="00821213">
        <w:rPr>
          <w:sz w:val="22"/>
        </w:rPr>
        <w:t xml:space="preserve">informed choice as to whether to obey or disobey </w:t>
      </w:r>
      <w:r>
        <w:rPr>
          <w:sz w:val="22"/>
        </w:rPr>
        <w:t>an order.</w:t>
      </w:r>
    </w:p>
    <w:p w:rsidRPr="00084FF1" w:rsidR="00084FF1" w:rsidP="00084FF1" w:rsidRDefault="00084FF1" w14:paraId="2879D3B0" w14:textId="75DCD388">
      <w:pPr>
        <w:rPr>
          <w:b/>
          <w:bCs/>
          <w:sz w:val="22"/>
        </w:rPr>
      </w:pPr>
      <w:r>
        <w:rPr>
          <w:sz w:val="22"/>
        </w:rPr>
        <w:t>Agency theory has low ecological validity. This is because</w:t>
      </w:r>
      <w:r w:rsidRPr="00821213">
        <w:rPr>
          <w:sz w:val="22"/>
        </w:rPr>
        <w:t xml:space="preserve"> </w:t>
      </w:r>
      <w:r>
        <w:rPr>
          <w:sz w:val="22"/>
        </w:rPr>
        <w:t>the main study that supports it (Milgram’s experiment and variations) had both an artificial task (giving electric shocks while ‘teaching’ someone) and an artificial setting.</w:t>
      </w:r>
    </w:p>
    <w:p w:rsidRPr="00D544A7" w:rsidR="00084FF1" w:rsidP="00084FF1" w:rsidRDefault="00084FF1" w14:paraId="6F3170C4" w14:textId="577E3D0F">
      <w:r>
        <w:rPr>
          <w:noProof/>
          <w:lang w:eastAsia="en-GB"/>
        </w:rPr>
        <w:drawing>
          <wp:inline distT="0" distB="0" distL="0" distR="0" wp14:anchorId="236079B7" wp14:editId="48182561">
            <wp:extent cx="4356100" cy="1072271"/>
            <wp:effectExtent l="0" t="0" r="6350" b="0"/>
            <wp:docPr id="2" name="Picture 2" descr="A grey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y rectangular sign with black text&#10;&#10;AI-generated content may be incorrect."/>
                    <pic:cNvPicPr/>
                  </pic:nvPicPr>
                  <pic:blipFill>
                    <a:blip r:embed="rId8"/>
                    <a:stretch>
                      <a:fillRect/>
                    </a:stretch>
                  </pic:blipFill>
                  <pic:spPr>
                    <a:xfrm>
                      <a:off x="0" y="0"/>
                      <a:ext cx="4367951" cy="1075188"/>
                    </a:xfrm>
                    <a:prstGeom prst="rect">
                      <a:avLst/>
                    </a:prstGeom>
                  </pic:spPr>
                </pic:pic>
              </a:graphicData>
            </a:graphic>
          </wp:inline>
        </w:drawing>
      </w:r>
    </w:p>
    <w:p w:rsidRPr="00084FF1" w:rsidR="00084FF1" w:rsidP="00084FF1" w:rsidRDefault="00084FF1" w14:paraId="1EF1136A" w14:textId="2C64E72B">
      <w:pPr>
        <w:rPr>
          <w:sz w:val="22"/>
        </w:rPr>
      </w:pPr>
      <w:r w:rsidRPr="00821213">
        <w:rPr>
          <w:sz w:val="22"/>
        </w:rPr>
        <w:t>The theory has real-life applications. For example, it accounts for why so many soldiers in WWII followed orders without question (they saw themselves as agents for Hitler and the Nazi state). Albert Eichmann in his 1961 trial for WWII atrocities also claimed he was only following orders.</w:t>
      </w:r>
    </w:p>
    <w:p w:rsidR="00084FF1" w:rsidP="00084FF1" w:rsidRDefault="00084FF1" w14:paraId="2A265180" w14:textId="573EE8ED">
      <w:pPr>
        <w:rPr>
          <w:sz w:val="22"/>
        </w:rPr>
      </w:pPr>
      <w:r>
        <w:rPr>
          <w:sz w:val="22"/>
        </w:rPr>
        <w:t xml:space="preserve">The theory explains the different levels of obedience found in the variations to the basic study. The more responsibility a participant had to take (e.g. following orders of an ‘ordinary man’) or the less the situation was ‘agentic’ (i.e. the downtown apartment) the more autonomous participants were. </w:t>
      </w:r>
    </w:p>
    <w:p w:rsidRPr="00084FF1" w:rsidR="00084FF1" w:rsidP="00084FF1" w:rsidRDefault="00084FF1" w14:paraId="04122759" w14:textId="19C966D7">
      <w:pPr>
        <w:rPr>
          <w:sz w:val="22"/>
        </w:rPr>
      </w:pPr>
      <w:r>
        <w:rPr>
          <w:sz w:val="22"/>
        </w:rPr>
        <w:t>Social power theory might be a better explanation. This theory suggests 5 kinds of power: legitimate, reward, coercive, expert and ‘referent’ (where you win people over). Milgram’s participants may have felt that he held at least the first 4 powers over them to some extent.</w:t>
      </w:r>
    </w:p>
    <w:p w:rsidR="00084FF1" w:rsidP="00084FF1" w:rsidRDefault="00084FF1" w14:paraId="01A12AC8" w14:textId="26BC81C1">
      <w:pPr>
        <w:rPr>
          <w:sz w:val="22"/>
        </w:rPr>
      </w:pPr>
      <w:r w:rsidRPr="00821213">
        <w:rPr>
          <w:sz w:val="22"/>
        </w:rPr>
        <w:t xml:space="preserve">Agency theory cannot explain individual differences in obedience. 35% of participants did not go up to 450v even though Milgram </w:t>
      </w:r>
      <w:r>
        <w:rPr>
          <w:sz w:val="22"/>
        </w:rPr>
        <w:t>believed</w:t>
      </w:r>
      <w:r w:rsidRPr="00821213">
        <w:rPr>
          <w:sz w:val="22"/>
        </w:rPr>
        <w:t xml:space="preserve"> they were in the same state at the start of the study as those that did obey the authority figure</w:t>
      </w:r>
      <w:r>
        <w:rPr>
          <w:sz w:val="22"/>
        </w:rPr>
        <w:t>.</w:t>
      </w:r>
    </w:p>
    <w:p w:rsidRPr="00821213" w:rsidR="00084FF1" w:rsidP="00084FF1" w:rsidRDefault="00084FF1" w14:paraId="69CE72B4" w14:textId="65F6B964">
      <w:pPr>
        <w:rPr>
          <w:sz w:val="22"/>
        </w:rPr>
      </w:pPr>
      <w:r>
        <w:rPr>
          <w:noProof/>
          <w:lang w:eastAsia="en-GB"/>
        </w:rPr>
        <w:drawing>
          <wp:inline distT="0" distB="0" distL="0" distR="0" wp14:anchorId="393B5595" wp14:editId="615EC6AA">
            <wp:extent cx="4146550" cy="769503"/>
            <wp:effectExtent l="0" t="0" r="6350" b="0"/>
            <wp:docPr id="4" name="Picture 4" descr="A grey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rectangular sign with black text&#10;&#10;AI-generated content may be incorrect."/>
                    <pic:cNvPicPr/>
                  </pic:nvPicPr>
                  <pic:blipFill>
                    <a:blip r:embed="rId9"/>
                    <a:stretch>
                      <a:fillRect/>
                    </a:stretch>
                  </pic:blipFill>
                  <pic:spPr>
                    <a:xfrm>
                      <a:off x="0" y="0"/>
                      <a:ext cx="4147326" cy="769647"/>
                    </a:xfrm>
                    <a:prstGeom prst="rect">
                      <a:avLst/>
                    </a:prstGeom>
                  </pic:spPr>
                </pic:pic>
              </a:graphicData>
            </a:graphic>
          </wp:inline>
        </w:drawing>
      </w:r>
    </w:p>
    <w:p w:rsidRPr="00821213" w:rsidR="00084FF1" w:rsidP="00084FF1" w:rsidRDefault="00084FF1" w14:paraId="301345CF" w14:textId="77777777">
      <w:pPr>
        <w:rPr>
          <w:rFonts w:ascii="Times" w:hAnsi="Times" w:cs="Times"/>
          <w:sz w:val="22"/>
        </w:rPr>
      </w:pPr>
      <w:r w:rsidRPr="0E8498D3">
        <w:rPr>
          <w:sz w:val="22"/>
          <w:szCs w:val="22"/>
        </w:rPr>
        <w:t>Agency theory is a description of how society works – not an explanation. It doesn’t tell us why obedience happens, it just says it does because people act as agents of society. The reason that people act as agents is because that is how society works. Natural selection means we have evolved to obey those in higher positions to us. There is no evidence to support this claim other than common sense!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3"/>
        <w:gridCol w:w="2723"/>
        <w:gridCol w:w="3150"/>
      </w:tblGrid>
      <w:tr w:rsidR="00084FF1" w:rsidTr="00084FF1" w14:paraId="75B106D8" w14:textId="77777777">
        <w:trPr>
          <w:trHeight w:val="3132"/>
        </w:trPr>
        <w:tc>
          <w:tcPr>
            <w:tcW w:w="3250" w:type="dxa"/>
          </w:tcPr>
          <w:p w:rsidR="00084FF1" w:rsidP="00084FF1" w:rsidRDefault="00084FF1" w14:paraId="6E69F355" w14:textId="77777777">
            <w:pPr>
              <w:pStyle w:val="Caption"/>
            </w:pPr>
            <w:r>
              <w:rPr>
                <w:noProof/>
                <w:lang w:val="en-GB" w:eastAsia="en-GB"/>
              </w:rPr>
              <w:drawing>
                <wp:inline distT="0" distB="0" distL="0" distR="0" wp14:anchorId="594B82C3" wp14:editId="4CB1A5DE">
                  <wp:extent cx="1723237" cy="1346200"/>
                  <wp:effectExtent l="0" t="0" r="0" b="6350"/>
                  <wp:docPr id="1" name="Picture 1" descr="A person in a suit standing next to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standing next to a person in a su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128" cy="1350802"/>
                          </a:xfrm>
                          <a:prstGeom prst="rect">
                            <a:avLst/>
                          </a:prstGeom>
                        </pic:spPr>
                      </pic:pic>
                    </a:graphicData>
                  </a:graphic>
                </wp:inline>
              </w:drawing>
            </w:r>
          </w:p>
          <w:p w:rsidRPr="00476D91" w:rsidR="00084FF1" w:rsidP="00BC7718" w:rsidRDefault="00084FF1" w14:paraId="71A8FB9D" w14:textId="77777777">
            <w:pPr>
              <w:pStyle w:val="Caption"/>
              <w:jc w:val="center"/>
            </w:pPr>
            <w:r>
              <w:t>Albert Eichmann (1961 trial)</w:t>
            </w:r>
          </w:p>
        </w:tc>
        <w:tc>
          <w:tcPr>
            <w:tcW w:w="3251" w:type="dxa"/>
          </w:tcPr>
          <w:p w:rsidR="00084FF1" w:rsidP="00BC7718" w:rsidRDefault="00084FF1" w14:paraId="7AC999E9" w14:textId="77777777">
            <w:pPr>
              <w:keepNext/>
              <w:jc w:val="center"/>
            </w:pPr>
            <w:r>
              <w:rPr>
                <w:noProof/>
                <w:lang w:val="en-GB" w:eastAsia="en-GB"/>
              </w:rPr>
              <w:drawing>
                <wp:inline distT="0" distB="0" distL="0" distR="0" wp14:anchorId="14669DF8" wp14:editId="3FC6E5F8">
                  <wp:extent cx="812800" cy="1219200"/>
                  <wp:effectExtent l="0" t="0" r="6350" b="0"/>
                  <wp:docPr id="6" name="Picture 6" descr="https://encrypted-tbn3.gstatic.com/images?q=tbn:ANd9GcSfIJhYB_ovQEQ3LM5PBxkQstBJ5s2_LdsQtsukKCQFLGFIs_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fIJhYB_ovQEQ3LM5PBxkQstBJ5s2_LdsQtsukKCQFLGFIs_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1219200"/>
                          </a:xfrm>
                          <a:prstGeom prst="rect">
                            <a:avLst/>
                          </a:prstGeom>
                          <a:noFill/>
                          <a:ln>
                            <a:noFill/>
                          </a:ln>
                        </pic:spPr>
                      </pic:pic>
                    </a:graphicData>
                  </a:graphic>
                </wp:inline>
              </w:drawing>
            </w:r>
          </w:p>
          <w:p w:rsidR="00084FF1" w:rsidP="00BC7718" w:rsidRDefault="00084FF1" w14:paraId="232284CB" w14:textId="77777777">
            <w:pPr>
              <w:keepNext/>
              <w:jc w:val="center"/>
            </w:pPr>
          </w:p>
          <w:p w:rsidRPr="00476D91" w:rsidR="00084FF1" w:rsidP="00BC7718" w:rsidRDefault="00084FF1" w14:paraId="7E4D310A" w14:textId="77777777">
            <w:pPr>
              <w:pStyle w:val="Caption"/>
              <w:jc w:val="center"/>
            </w:pPr>
            <w:proofErr w:type="spellStart"/>
            <w:r>
              <w:t>Bickman</w:t>
            </w:r>
            <w:proofErr w:type="spellEnd"/>
            <w:r>
              <w:t xml:space="preserve"> (1974) – Authority Figure</w:t>
            </w:r>
          </w:p>
        </w:tc>
        <w:tc>
          <w:tcPr>
            <w:tcW w:w="3251" w:type="dxa"/>
          </w:tcPr>
          <w:p w:rsidR="00084FF1" w:rsidP="00BC7718" w:rsidRDefault="00084FF1" w14:paraId="725F4FE8" w14:textId="77777777">
            <w:pPr>
              <w:jc w:val="center"/>
            </w:pPr>
          </w:p>
          <w:p w:rsidR="00084FF1" w:rsidP="00BC7718" w:rsidRDefault="00084FF1" w14:paraId="4D895A1C" w14:textId="77777777">
            <w:pPr>
              <w:jc w:val="center"/>
            </w:pPr>
            <w:r>
              <w:rPr>
                <w:noProof/>
                <w:lang w:val="en-GB" w:eastAsia="en-GB"/>
              </w:rPr>
              <w:drawing>
                <wp:inline distT="0" distB="0" distL="0" distR="0" wp14:anchorId="4C7141BF" wp14:editId="2FF41062">
                  <wp:extent cx="1714500" cy="1068139"/>
                  <wp:effectExtent l="0" t="0" r="0" b="0"/>
                  <wp:docPr id="5" name="Picture 5" descr="https://encrypted-tbn2.gstatic.com/images?q=tbn:ANd9GcQgfMyxnMN891HsowFU02zxlidgs0vUFtri4_keRDaGD_33KRVfCH_Eu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QgfMyxnMN891HsowFU02zxlidgs0vUFtri4_keRDaGD_33KRVfCH_Euu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8914" cy="1070889"/>
                          </a:xfrm>
                          <a:prstGeom prst="rect">
                            <a:avLst/>
                          </a:prstGeom>
                          <a:noFill/>
                          <a:ln>
                            <a:noFill/>
                          </a:ln>
                        </pic:spPr>
                      </pic:pic>
                    </a:graphicData>
                  </a:graphic>
                </wp:inline>
              </w:drawing>
            </w:r>
          </w:p>
          <w:p w:rsidR="00084FF1" w:rsidP="00BC7718" w:rsidRDefault="00084FF1" w14:paraId="2952D47E" w14:textId="77777777">
            <w:pPr>
              <w:jc w:val="center"/>
            </w:pPr>
          </w:p>
          <w:p w:rsidRPr="00476D91" w:rsidR="00084FF1" w:rsidP="00084FF1" w:rsidRDefault="00084FF1" w14:paraId="6BD50B6D" w14:textId="19B02CB5">
            <w:pPr>
              <w:pStyle w:val="Caption"/>
              <w:jc w:val="center"/>
            </w:pPr>
            <w:r>
              <w:t>Hofling et al. (1966) – Nurses stud</w:t>
            </w:r>
            <w:r>
              <w:t>y</w:t>
            </w:r>
          </w:p>
          <w:p w:rsidRPr="00476D91" w:rsidR="00084FF1" w:rsidP="00BC7718" w:rsidRDefault="00084FF1" w14:paraId="6724467D" w14:textId="77777777"/>
        </w:tc>
      </w:tr>
    </w:tbl>
    <w:p w:rsidRPr="00FE56E8" w:rsidR="00084FF1" w:rsidP="00084FF1" w:rsidRDefault="00084FF1" w14:paraId="1EE4E16F" w14:textId="77777777"/>
    <w:sectPr w:rsidRPr="00FE56E8" w:rsidR="00084FF1" w:rsidSect="00084FF1">
      <w:pgSz w:w="11906" w:h="16838" w:orient="portrait"/>
      <w:pgMar w:top="348" w:right="1440" w:bottom="30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A2365"/>
    <w:multiLevelType w:val="hybridMultilevel"/>
    <w:tmpl w:val="0F56D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244B0"/>
    <w:multiLevelType w:val="hybridMultilevel"/>
    <w:tmpl w:val="CAD26B64"/>
    <w:lvl w:ilvl="0" w:tplc="A6B89544">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B722E9"/>
    <w:multiLevelType w:val="hybridMultilevel"/>
    <w:tmpl w:val="D7EABC22"/>
    <w:lvl w:ilvl="0" w:tplc="A6B895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14539520">
    <w:abstractNumId w:val="2"/>
  </w:num>
  <w:num w:numId="2" w16cid:durableId="798573526">
    <w:abstractNumId w:val="1"/>
  </w:num>
  <w:num w:numId="3" w16cid:durableId="161652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E8"/>
    <w:rsid w:val="00084FF1"/>
    <w:rsid w:val="0041177B"/>
    <w:rsid w:val="008661E4"/>
    <w:rsid w:val="008B2C5C"/>
    <w:rsid w:val="00D4459A"/>
    <w:rsid w:val="00E41BC0"/>
    <w:rsid w:val="00FE56E8"/>
    <w:rsid w:val="0A659568"/>
    <w:rsid w:val="5AD6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2CEBE0"/>
  <w15:chartTrackingRefBased/>
  <w15:docId w15:val="{3D0E0513-231B-774C-9A6A-D57550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56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56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5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56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E56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E56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56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56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56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56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56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56E8"/>
    <w:rPr>
      <w:rFonts w:eastAsiaTheme="majorEastAsia" w:cstheme="majorBidi"/>
      <w:color w:val="272727" w:themeColor="text1" w:themeTint="D8"/>
    </w:rPr>
  </w:style>
  <w:style w:type="paragraph" w:styleId="Title">
    <w:name w:val="Title"/>
    <w:basedOn w:val="Normal"/>
    <w:next w:val="Normal"/>
    <w:link w:val="TitleChar"/>
    <w:uiPriority w:val="10"/>
    <w:qFormat/>
    <w:rsid w:val="00FE56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56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56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5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E8"/>
    <w:pPr>
      <w:spacing w:before="160"/>
      <w:jc w:val="center"/>
    </w:pPr>
    <w:rPr>
      <w:i/>
      <w:iCs/>
      <w:color w:val="404040" w:themeColor="text1" w:themeTint="BF"/>
    </w:rPr>
  </w:style>
  <w:style w:type="character" w:styleId="QuoteChar" w:customStyle="1">
    <w:name w:val="Quote Char"/>
    <w:basedOn w:val="DefaultParagraphFont"/>
    <w:link w:val="Quote"/>
    <w:uiPriority w:val="29"/>
    <w:rsid w:val="00FE56E8"/>
    <w:rPr>
      <w:i/>
      <w:iCs/>
      <w:color w:val="404040" w:themeColor="text1" w:themeTint="BF"/>
    </w:rPr>
  </w:style>
  <w:style w:type="paragraph" w:styleId="ListParagraph">
    <w:name w:val="List Paragraph"/>
    <w:basedOn w:val="Normal"/>
    <w:uiPriority w:val="34"/>
    <w:qFormat/>
    <w:rsid w:val="00FE56E8"/>
    <w:pPr>
      <w:ind w:left="720"/>
      <w:contextualSpacing/>
    </w:pPr>
  </w:style>
  <w:style w:type="character" w:styleId="IntenseEmphasis">
    <w:name w:val="Intense Emphasis"/>
    <w:basedOn w:val="DefaultParagraphFont"/>
    <w:uiPriority w:val="21"/>
    <w:qFormat/>
    <w:rsid w:val="00FE56E8"/>
    <w:rPr>
      <w:i/>
      <w:iCs/>
      <w:color w:val="0F4761" w:themeColor="accent1" w:themeShade="BF"/>
    </w:rPr>
  </w:style>
  <w:style w:type="paragraph" w:styleId="IntenseQuote">
    <w:name w:val="Intense Quote"/>
    <w:basedOn w:val="Normal"/>
    <w:next w:val="Normal"/>
    <w:link w:val="IntenseQuoteChar"/>
    <w:uiPriority w:val="30"/>
    <w:qFormat/>
    <w:rsid w:val="00FE56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56E8"/>
    <w:rPr>
      <w:i/>
      <w:iCs/>
      <w:color w:val="0F4761" w:themeColor="accent1" w:themeShade="BF"/>
    </w:rPr>
  </w:style>
  <w:style w:type="character" w:styleId="IntenseReference">
    <w:name w:val="Intense Reference"/>
    <w:basedOn w:val="DefaultParagraphFont"/>
    <w:uiPriority w:val="32"/>
    <w:qFormat/>
    <w:rsid w:val="00FE56E8"/>
    <w:rPr>
      <w:b/>
      <w:bCs/>
      <w:smallCaps/>
      <w:color w:val="0F4761" w:themeColor="accent1" w:themeShade="BF"/>
      <w:spacing w:val="5"/>
    </w:rPr>
  </w:style>
  <w:style w:type="paragraph" w:styleId="Caption">
    <w:name w:val="caption"/>
    <w:basedOn w:val="Normal"/>
    <w:next w:val="Normal"/>
    <w:uiPriority w:val="35"/>
    <w:unhideWhenUsed/>
    <w:qFormat/>
    <w:rsid w:val="00084FF1"/>
    <w:pPr>
      <w:spacing w:after="200" w:line="240" w:lineRule="auto"/>
    </w:pPr>
    <w:rPr>
      <w:rFonts w:eastAsiaTheme="minorEastAsia"/>
      <w:b/>
      <w:bCs/>
      <w:color w:val="156082" w:themeColor="accent1"/>
      <w:kern w:val="0"/>
      <w:sz w:val="18"/>
      <w:szCs w:val="18"/>
      <w:lang w:val="en-US"/>
      <w14:ligatures w14:val="none"/>
    </w:rPr>
  </w:style>
  <w:style w:type="table" w:styleId="TableGrid">
    <w:name w:val="Table Grid"/>
    <w:basedOn w:val="TableNormal"/>
    <w:uiPriority w:val="59"/>
    <w:rsid w:val="00084FF1"/>
    <w:pPr>
      <w:spacing w:after="0" w:line="240" w:lineRule="auto"/>
    </w:pPr>
    <w:rPr>
      <w:rFonts w:eastAsiaTheme="minorEastAsia"/>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0607C-A3C3-465B-90E0-5F6289C0D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DD90C-2D3E-4C59-8A27-E14A0EF1DC2E}">
  <ds:schemaRefs>
    <ds:schemaRef ds:uri="http://schemas.microsoft.com/office/2006/metadata/properties"/>
    <ds:schemaRef ds:uri="http://schemas.microsoft.com/office/infopath/2007/PartnerControls"/>
    <ds:schemaRef ds:uri="12c23345-8ea2-49f2-9662-81466da84a41"/>
    <ds:schemaRef ds:uri="6fb58957-7ec2-4523-8567-2bd25756fd2f"/>
  </ds:schemaRefs>
</ds:datastoreItem>
</file>

<file path=customXml/itemProps3.xml><?xml version="1.0" encoding="utf-8"?>
<ds:datastoreItem xmlns:ds="http://schemas.openxmlformats.org/officeDocument/2006/customXml" ds:itemID="{013C084B-4602-485C-988A-781084D964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Vernon LEIGH</dc:creator>
  <keywords/>
  <dc:description/>
  <lastModifiedBy>Vernon Leigh</lastModifiedBy>
  <revision>3</revision>
  <dcterms:created xsi:type="dcterms:W3CDTF">2025-09-25T13:15:00.0000000Z</dcterms:created>
  <dcterms:modified xsi:type="dcterms:W3CDTF">2025-09-26T07:33:37.5207264Z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MediaServiceImageTags">
    <vt:lpwstr/>
  </property>
</Properties>
</file>